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0D" w:rsidRDefault="003E390D">
      <w:pPr>
        <w:kinsoku w:val="0"/>
        <w:overflowPunct w:val="0"/>
        <w:spacing w:before="6" w:line="150" w:lineRule="exact"/>
        <w:rPr>
          <w:sz w:val="15"/>
          <w:szCs w:val="15"/>
        </w:rPr>
      </w:pPr>
      <w:bookmarkStart w:id="0" w:name="_GoBack"/>
      <w:bookmarkEnd w:id="0"/>
    </w:p>
    <w:p w:rsidR="003E390D" w:rsidRDefault="003E390D">
      <w:pPr>
        <w:kinsoku w:val="0"/>
        <w:overflowPunct w:val="0"/>
        <w:spacing w:line="200" w:lineRule="exact"/>
        <w:rPr>
          <w:sz w:val="20"/>
          <w:szCs w:val="20"/>
        </w:rPr>
      </w:pPr>
    </w:p>
    <w:p w:rsidR="003E390D" w:rsidRDefault="003E390D">
      <w:pPr>
        <w:kinsoku w:val="0"/>
        <w:overflowPunct w:val="0"/>
        <w:spacing w:line="200" w:lineRule="exact"/>
        <w:rPr>
          <w:sz w:val="20"/>
          <w:szCs w:val="20"/>
        </w:rPr>
      </w:pPr>
    </w:p>
    <w:p w:rsidR="003E390D" w:rsidRDefault="003E390D">
      <w:pPr>
        <w:kinsoku w:val="0"/>
        <w:overflowPunct w:val="0"/>
        <w:spacing w:line="200" w:lineRule="exact"/>
        <w:rPr>
          <w:sz w:val="20"/>
          <w:szCs w:val="20"/>
        </w:rPr>
      </w:pPr>
    </w:p>
    <w:p w:rsidR="003E390D" w:rsidRDefault="003E390D">
      <w:pPr>
        <w:kinsoku w:val="0"/>
        <w:overflowPunct w:val="0"/>
        <w:spacing w:line="200" w:lineRule="exact"/>
        <w:rPr>
          <w:sz w:val="20"/>
          <w:szCs w:val="20"/>
        </w:rPr>
      </w:pPr>
    </w:p>
    <w:p w:rsidR="003E390D" w:rsidRDefault="007C7123">
      <w:pPr>
        <w:kinsoku w:val="0"/>
        <w:overflowPunct w:val="0"/>
        <w:spacing w:line="345" w:lineRule="exact"/>
        <w:ind w:left="250"/>
        <w:rPr>
          <w:rFonts w:ascii="Meiryo" w:eastAsia="Meiryo" w:cs="Meiryo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-217805</wp:posOffset>
                </wp:positionV>
                <wp:extent cx="1231900" cy="1219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90D" w:rsidRDefault="007C712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9200" cy="12096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90D" w:rsidRDefault="003E39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8.85pt;margin-top:-17.15pt;width:97pt;height:9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GVqQIAAKEFAAAOAAAAZHJzL2Uyb0RvYy54bWysVFFvmzAQfp+0/2D5nYIpSQMqqdoQpknd&#10;Vq3bD3DABGvGZrYT0k377zubJE3al2kbD9bZPt99393HXd/sOoG2TBuuZI7JRYQRk5WquVzn+OuX&#10;MphhZCyVNRVKshw/MYNv5m/fXA99xmLVKlEzjSCINNnQ57i1ts/C0FQt66i5UD2TcNko3VELW70O&#10;a00HiN6JMI6iaTgoXfdaVcwYOC3GSzz38ZuGVfZT0xhmkcgxYLN+1X5duTWcX9NsrWnf8moPg/4F&#10;io5yCUmPoQpqKdpo/ipUxyutjGrsRaW6UDUNr5jnAGxI9ILNY0t75rlAcUx/LJP5f2Grj9sHjXid&#10;4xgjSTto0WcoGpVrwVDsyjP0JgOvx/5BO4Kmv1fVN4OkWrTgxW61VkPLaA2giPMPzx64jYGnaDV8&#10;UDVEpxurfKV2je5cQKgB2vmGPB0bwnYWVXBI4kuSRtC3Cu5ITFJouc9Bs8PzXhv7jqkOOSPHGsD7&#10;8HR7b6yDQ7ODi8smVcmF8F0X8uwAHMcTSA5P3Z2D4Zv4M43S5Ww5S4Ikni6DJCqK4LZcJMG0JFeT&#10;4rJYLAryy+UlSdbyumbSpTkIiiR/1rC9tEcpHCVllOC1C+cgGb1eLYRGWwqCLv23L8iJW3gOwxcB&#10;uLygROIkuovToJzOroKkTCZBehXNgoikd+k0StKkKM8p3XPJ/p0SGnKcTuKJ79IJ6BfcIv+95kaz&#10;jlsYGYJ3OZ4dnWjmNLiUtW+tpVyM9kkpHPznUkC7D432inUiHcVud6sdRHHKXan6CbSrFSgLVAhz&#10;DoxW6R8YDTAzcmy+b6hmGIn3EvTvBszB0AdjdTCorOBpji1Go7mw4yDa9JqvW4hMfE2kuoV/pOFe&#10;vc8o9n8WzAFPYj+z3KA53Xuv58k6/w0AAP//AwBQSwMEFAAGAAgAAAAhAOTD57nhAAAACwEAAA8A&#10;AABkcnMvZG93bnJldi54bWxMj8tOwzAQRfdI/IM1SOxaJxRIE+JUFQ+1S/qQCjs3GZIIexzFbhP4&#10;eoYVLGfu0Z0z+WK0Rpyx960jBfE0AoFUuqqlWsF+9zKZg/BBU6WNI1TwhR4WxeVFrrPKDbTB8zbU&#10;gkvIZ1pBE0KXSenLBq32U9chcfbheqsDj30tq14PXG6NvImie2l1S3yh0R0+Nlh+bk9WwWreLd/W&#10;7nuozfP76vB6SJ92aVDq+mpcPoAIOIY/GH71WR0Kdjq6E1VeGAVJnCSMKpjMbmcgmEjjmDdHRu84&#10;kkUu//9Q/AAAAP//AwBQSwECLQAUAAYACAAAACEAtoM4kv4AAADhAQAAEwAAAAAAAAAAAAAAAAAA&#10;AAAAW0NvbnRlbnRfVHlwZXNdLnhtbFBLAQItABQABgAIAAAAIQA4/SH/1gAAAJQBAAALAAAAAAAA&#10;AAAAAAAAAC8BAABfcmVscy8ucmVsc1BLAQItABQABgAIAAAAIQDXJoGVqQIAAKEFAAAOAAAAAAAA&#10;AAAAAAAAAC4CAABkcnMvZTJvRG9jLnhtbFBLAQItABQABgAIAAAAIQDkw+e54QAAAAsBAAAPAAAA&#10;AAAAAAAAAAAAAAMFAABkcnMvZG93bnJldi54bWxQSwUGAAAAAAQABADzAAAAEQYAAAAA&#10;" o:allowincell="f" filled="f" stroked="f">
                <v:textbox inset="0,0,0,0">
                  <w:txbxContent>
                    <w:p w:rsidR="003E390D" w:rsidRDefault="007C7123">
                      <w:pPr>
                        <w:widowControl/>
                        <w:autoSpaceDE/>
                        <w:autoSpaceDN/>
                        <w:adjustRightInd/>
                        <w:spacing w:line="1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9200" cy="12096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90D" w:rsidRDefault="003E390D"/>
                  </w:txbxContent>
                </v:textbox>
                <w10:wrap anchorx="page"/>
              </v:rect>
            </w:pict>
          </mc:Fallback>
        </mc:AlternateContent>
      </w:r>
      <w:r w:rsidR="003E390D">
        <w:rPr>
          <w:rFonts w:ascii="Meiryo" w:eastAsia="Meiryo" w:cs="Meiryo" w:hint="eastAsia"/>
          <w:b/>
          <w:bCs/>
          <w:sz w:val="27"/>
          <w:szCs w:val="27"/>
        </w:rPr>
        <w:t>社鄰法庭</w:t>
      </w:r>
    </w:p>
    <w:p w:rsidR="003E390D" w:rsidRDefault="003E390D">
      <w:pPr>
        <w:kinsoku w:val="0"/>
        <w:overflowPunct w:val="0"/>
        <w:spacing w:line="451" w:lineRule="exact"/>
        <w:ind w:left="110" w:firstLine="139"/>
        <w:rPr>
          <w:rFonts w:ascii="Meiryo" w:eastAsia="Meiryo" w:cs="Meiryo"/>
          <w:sz w:val="28"/>
          <w:szCs w:val="28"/>
        </w:rPr>
      </w:pPr>
      <w:r>
        <w:rPr>
          <w:rFonts w:ascii="Meiryo" w:eastAsia="Meiryo" w:cs="Meiryo" w:hint="eastAsia"/>
          <w:b/>
          <w:bCs/>
          <w:i/>
          <w:iCs/>
          <w:w w:val="95"/>
          <w:sz w:val="28"/>
          <w:szCs w:val="28"/>
        </w:rPr>
        <w:t>受害人常問問題</w:t>
      </w:r>
    </w:p>
    <w:p w:rsidR="003E390D" w:rsidRDefault="003E390D">
      <w:pPr>
        <w:kinsoku w:val="0"/>
        <w:overflowPunct w:val="0"/>
        <w:spacing w:line="280" w:lineRule="exact"/>
        <w:rPr>
          <w:sz w:val="28"/>
          <w:szCs w:val="28"/>
        </w:rPr>
      </w:pPr>
    </w:p>
    <w:p w:rsidR="003E390D" w:rsidRDefault="003E390D">
      <w:pPr>
        <w:kinsoku w:val="0"/>
        <w:overflowPunct w:val="0"/>
        <w:spacing w:before="20" w:line="340" w:lineRule="exact"/>
        <w:rPr>
          <w:sz w:val="34"/>
          <w:szCs w:val="34"/>
        </w:rPr>
      </w:pPr>
    </w:p>
    <w:p w:rsidR="003E390D" w:rsidRDefault="003E390D">
      <w:pPr>
        <w:kinsoku w:val="0"/>
        <w:overflowPunct w:val="0"/>
        <w:ind w:right="6386"/>
        <w:jc w:val="center"/>
        <w:rPr>
          <w:rFonts w:ascii="Meiryo" w:eastAsia="Meiryo" w:hAnsi="Calibri" w:cs="Meiry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w w:val="95"/>
          <w:sz w:val="22"/>
          <w:szCs w:val="22"/>
        </w:rPr>
        <w:t xml:space="preserve">1. </w:t>
      </w:r>
      <w:r>
        <w:rPr>
          <w:rFonts w:ascii="Calibri" w:hAnsi="Calibri" w:cs="Calibri"/>
          <w:b/>
          <w:bCs/>
          <w:i/>
          <w:iCs/>
          <w:spacing w:val="2"/>
          <w:w w:val="95"/>
          <w:sz w:val="22"/>
          <w:szCs w:val="22"/>
        </w:rPr>
        <w:t xml:space="preserve"> </w:t>
      </w:r>
      <w:r>
        <w:rPr>
          <w:rFonts w:ascii="Meiryo" w:eastAsia="Meiryo" w:hAnsi="Calibri" w:cs="Meiryo" w:hint="eastAsia"/>
          <w:b/>
          <w:bCs/>
          <w:i/>
          <w:iCs/>
          <w:spacing w:val="-1"/>
          <w:w w:val="95"/>
          <w:sz w:val="23"/>
          <w:szCs w:val="23"/>
        </w:rPr>
        <w:t>什麼是社鄰法庭？</w:t>
      </w:r>
    </w:p>
    <w:p w:rsidR="003E390D" w:rsidRDefault="003E390D">
      <w:pPr>
        <w:kinsoku w:val="0"/>
        <w:overflowPunct w:val="0"/>
        <w:spacing w:line="180" w:lineRule="exact"/>
        <w:rPr>
          <w:sz w:val="18"/>
          <w:szCs w:val="18"/>
        </w:rPr>
      </w:pPr>
    </w:p>
    <w:p w:rsidR="003E390D" w:rsidRDefault="003E390D">
      <w:pPr>
        <w:pStyle w:val="BodyText"/>
        <w:kinsoku w:val="0"/>
        <w:overflowPunct w:val="0"/>
        <w:spacing w:before="38" w:line="180" w:lineRule="auto"/>
        <w:ind w:right="108"/>
        <w:jc w:val="both"/>
      </w:pPr>
      <w:r>
        <w:rPr>
          <w:rFonts w:ascii="Meiryo" w:eastAsia="Meiryo" w:cs="Meiryo" w:hint="eastAsia"/>
          <w:b/>
          <w:bCs/>
          <w:spacing w:val="1"/>
        </w:rPr>
        <w:t>社鄰法庭是一個代替傳統犯罪司法系統的選擇。</w:t>
      </w:r>
      <w:r>
        <w:rPr>
          <w:rFonts w:hint="eastAsia"/>
          <w:spacing w:val="1"/>
        </w:rPr>
        <w:t>代替在位於</w:t>
      </w:r>
      <w:r>
        <w:rPr>
          <w:spacing w:val="2"/>
        </w:rPr>
        <w:t>850</w:t>
      </w:r>
      <w:r>
        <w:rPr>
          <w:spacing w:val="38"/>
        </w:rPr>
        <w:t xml:space="preserve"> </w:t>
      </w:r>
      <w:r>
        <w:rPr>
          <w:spacing w:val="2"/>
        </w:rPr>
        <w:t>Bryant</w:t>
      </w:r>
      <w:r>
        <w:rPr>
          <w:rFonts w:hint="eastAsia"/>
          <w:spacing w:val="1"/>
        </w:rPr>
        <w:t>犯罪法庭起訴案件，地</w:t>
      </w:r>
      <w:r>
        <w:rPr>
          <w:spacing w:val="54"/>
          <w:w w:val="102"/>
        </w:rPr>
        <w:t xml:space="preserve"> </w:t>
      </w:r>
      <w:r>
        <w:rPr>
          <w:rFonts w:hint="eastAsia"/>
        </w:rPr>
        <w:t>檢署將低層次的輕罪案件，轉介交社鄰法庭處理。在社鄰法庭，評審小組──由住在發</w:t>
      </w:r>
      <w:r>
        <w:rPr>
          <w:spacing w:val="39"/>
          <w:w w:val="102"/>
        </w:rPr>
        <w:t xml:space="preserve"> </w:t>
      </w:r>
      <w:r>
        <w:rPr>
          <w:rFonts w:hint="eastAsia"/>
        </w:rPr>
        <w:t>生事件的社區或在該區工作符合資格的居民組成──將聆聽案情。聆聽在市內多個社區不同地</w:t>
      </w:r>
      <w:r>
        <w:rPr>
          <w:spacing w:val="39"/>
          <w:w w:val="102"/>
        </w:rPr>
        <w:t xml:space="preserve"> </w:t>
      </w:r>
      <w:r>
        <w:rPr>
          <w:rFonts w:hint="eastAsia"/>
        </w:rPr>
        <w:t>點而非在</w:t>
      </w:r>
      <w:r>
        <w:rPr>
          <w:spacing w:val="1"/>
        </w:rPr>
        <w:t>850</w:t>
      </w:r>
      <w:r>
        <w:rPr>
          <w:spacing w:val="38"/>
        </w:rPr>
        <w:t xml:space="preserve"> </w:t>
      </w:r>
      <w:r>
        <w:rPr>
          <w:spacing w:val="2"/>
        </w:rPr>
        <w:t>Bryant</w:t>
      </w:r>
      <w:r>
        <w:rPr>
          <w:rFonts w:hint="eastAsia"/>
          <w:spacing w:val="1"/>
        </w:rPr>
        <w:t>舉行。小組使用復和司法解決問題，和處理事件對受害人和社區導致之損</w:t>
      </w:r>
      <w:r>
        <w:rPr>
          <w:spacing w:val="77"/>
          <w:w w:val="102"/>
        </w:rPr>
        <w:t xml:space="preserve"> </w:t>
      </w:r>
      <w:r>
        <w:rPr>
          <w:rFonts w:hint="eastAsia"/>
          <w:spacing w:val="-1"/>
        </w:rPr>
        <w:t>害。所有參與社鄰法庭的聽訊，均是自願的和保密的。</w:t>
      </w:r>
    </w:p>
    <w:p w:rsidR="003E390D" w:rsidRDefault="003E390D">
      <w:pPr>
        <w:pStyle w:val="Heading1"/>
        <w:kinsoku w:val="0"/>
        <w:overflowPunct w:val="0"/>
        <w:jc w:val="both"/>
        <w:rPr>
          <w:rFonts w:hAnsi="Calibri"/>
          <w:b w:val="0"/>
          <w:bCs w:val="0"/>
          <w:i w:val="0"/>
          <w:iCs w:val="0"/>
        </w:rPr>
      </w:pPr>
      <w:r>
        <w:rPr>
          <w:rFonts w:ascii="Calibri" w:hAnsi="Calibri" w:cs="Calibri"/>
          <w:spacing w:val="-1"/>
          <w:w w:val="95"/>
          <w:sz w:val="22"/>
          <w:szCs w:val="22"/>
        </w:rPr>
        <w:t>2.</w:t>
      </w:r>
      <w:r>
        <w:rPr>
          <w:rFonts w:hAnsi="Calibri" w:hint="eastAsia"/>
          <w:spacing w:val="-1"/>
          <w:w w:val="95"/>
        </w:rPr>
        <w:t>案件如何轉介到社鄰法庭？</w:t>
      </w:r>
    </w:p>
    <w:p w:rsidR="003E390D" w:rsidRDefault="003E390D">
      <w:pPr>
        <w:kinsoku w:val="0"/>
        <w:overflowPunct w:val="0"/>
        <w:spacing w:before="4" w:line="230" w:lineRule="exact"/>
        <w:rPr>
          <w:sz w:val="23"/>
          <w:szCs w:val="23"/>
        </w:rPr>
      </w:pPr>
    </w:p>
    <w:p w:rsidR="003E390D" w:rsidRDefault="00462FE0">
      <w:pPr>
        <w:kinsoku w:val="0"/>
        <w:overflowPunct w:val="0"/>
        <w:spacing w:line="168" w:lineRule="auto"/>
        <w:ind w:left="110" w:right="111"/>
        <w:jc w:val="both"/>
        <w:rPr>
          <w:rFonts w:ascii="Arial Unicode MS" w:eastAsia="Arial Unicode MS" w:cs="Arial Unicode MS"/>
          <w:sz w:val="20"/>
          <w:szCs w:val="20"/>
        </w:rPr>
      </w:pPr>
      <w:r>
        <w:rPr>
          <w:rFonts w:ascii="Meiryo" w:eastAsia="Meiryo" w:cs="Meiryo" w:hint="eastAsia"/>
          <w:b/>
          <w:bCs/>
          <w:sz w:val="20"/>
          <w:szCs w:val="20"/>
        </w:rPr>
        <w:t>如輕罪</w:t>
      </w:r>
      <w:r w:rsidR="003E390D">
        <w:rPr>
          <w:rFonts w:ascii="Meiryo" w:eastAsia="Meiryo" w:cs="Meiryo" w:hint="eastAsia"/>
          <w:b/>
          <w:bCs/>
          <w:sz w:val="20"/>
          <w:szCs w:val="20"/>
        </w:rPr>
        <w:t>案件適合社鄰法庭，地檢署將發信給被告。</w:t>
      </w:r>
      <w:r w:rsidR="003E390D">
        <w:rPr>
          <w:rFonts w:ascii="Arial Unicode MS" w:eastAsia="Arial Unicode MS" w:cs="Arial Unicode MS" w:hint="eastAsia"/>
          <w:sz w:val="20"/>
          <w:szCs w:val="20"/>
        </w:rPr>
        <w:t>如被告拒絕參與，或對事件有爭議，</w:t>
      </w:r>
      <w:r w:rsidR="003E390D">
        <w:rPr>
          <w:rFonts w:ascii="Arial Unicode MS" w:eastAsia="Arial Unicode MS" w:cs="Arial Unicode MS"/>
          <w:spacing w:val="39"/>
          <w:w w:val="102"/>
          <w:sz w:val="20"/>
          <w:szCs w:val="20"/>
        </w:rPr>
        <w:t xml:space="preserve"> </w:t>
      </w:r>
      <w:r w:rsidR="003E390D">
        <w:rPr>
          <w:rFonts w:ascii="Arial Unicode MS" w:eastAsia="Arial Unicode MS" w:cs="Arial Unicode MS" w:hint="eastAsia"/>
          <w:spacing w:val="-1"/>
          <w:sz w:val="20"/>
          <w:szCs w:val="20"/>
        </w:rPr>
        <w:t>或無聯絡時，則案件將</w:t>
      </w:r>
      <w:r w:rsidR="003E390D">
        <w:rPr>
          <w:rFonts w:ascii="Arial Unicode MS" w:eastAsia="Arial Unicode MS" w:cs="Arial Unicode MS" w:hint="eastAsia"/>
          <w:spacing w:val="-2"/>
          <w:sz w:val="20"/>
          <w:szCs w:val="20"/>
        </w:rPr>
        <w:t>繼續由</w:t>
      </w:r>
      <w:r w:rsidR="003E390D">
        <w:rPr>
          <w:rFonts w:ascii="Arial Unicode MS" w:eastAsia="Arial Unicode MS" w:cs="Arial Unicode MS"/>
          <w:spacing w:val="-2"/>
          <w:sz w:val="20"/>
          <w:szCs w:val="20"/>
        </w:rPr>
        <w:t>850</w:t>
      </w:r>
      <w:r w:rsidR="003E390D">
        <w:rPr>
          <w:rFonts w:ascii="Arial Unicode MS" w:eastAsia="Arial Unicode MS" w:cs="Arial Unicode MS"/>
          <w:spacing w:val="-13"/>
          <w:sz w:val="20"/>
          <w:szCs w:val="20"/>
        </w:rPr>
        <w:t xml:space="preserve"> </w:t>
      </w:r>
      <w:r w:rsidR="003E390D">
        <w:rPr>
          <w:rFonts w:ascii="Arial Unicode MS" w:eastAsia="Arial Unicode MS" w:cs="Arial Unicode MS"/>
          <w:spacing w:val="-2"/>
          <w:sz w:val="20"/>
          <w:szCs w:val="20"/>
        </w:rPr>
        <w:t>Bryant</w:t>
      </w:r>
      <w:r w:rsidR="003E390D">
        <w:rPr>
          <w:rFonts w:ascii="Arial Unicode MS" w:eastAsia="Arial Unicode MS" w:cs="Arial Unicode MS" w:hint="eastAsia"/>
          <w:spacing w:val="-2"/>
          <w:sz w:val="20"/>
          <w:szCs w:val="20"/>
        </w:rPr>
        <w:t>的犯罪法</w:t>
      </w:r>
      <w:r w:rsidR="003E390D">
        <w:rPr>
          <w:rFonts w:ascii="Arial Unicode MS" w:eastAsia="Arial Unicode MS" w:cs="Arial Unicode MS" w:hint="eastAsia"/>
          <w:spacing w:val="-1"/>
          <w:sz w:val="20"/>
          <w:szCs w:val="20"/>
        </w:rPr>
        <w:t>庭處理。</w:t>
      </w:r>
    </w:p>
    <w:p w:rsidR="003E390D" w:rsidRDefault="003E390D">
      <w:pPr>
        <w:kinsoku w:val="0"/>
        <w:overflowPunct w:val="0"/>
        <w:spacing w:before="152"/>
        <w:ind w:left="110"/>
        <w:jc w:val="both"/>
        <w:rPr>
          <w:rFonts w:ascii="Meiryo" w:eastAsia="Meiryo" w:hAnsi="Calibri" w:cs="Meiry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w w:val="95"/>
          <w:sz w:val="22"/>
          <w:szCs w:val="22"/>
        </w:rPr>
        <w:t xml:space="preserve">3. </w:t>
      </w:r>
      <w:r>
        <w:rPr>
          <w:rFonts w:ascii="Calibri" w:hAnsi="Calibri" w:cs="Calibri"/>
          <w:b/>
          <w:bCs/>
          <w:i/>
          <w:iCs/>
          <w:spacing w:val="16"/>
          <w:w w:val="95"/>
          <w:sz w:val="22"/>
          <w:szCs w:val="22"/>
        </w:rPr>
        <w:t xml:space="preserve"> </w:t>
      </w:r>
      <w:r>
        <w:rPr>
          <w:rFonts w:ascii="Meiryo" w:eastAsia="Meiryo" w:hAnsi="Calibri" w:cs="Meiryo" w:hint="eastAsia"/>
          <w:b/>
          <w:bCs/>
          <w:i/>
          <w:iCs/>
          <w:spacing w:val="-1"/>
          <w:w w:val="95"/>
          <w:sz w:val="23"/>
          <w:szCs w:val="23"/>
        </w:rPr>
        <w:t>在社鄰法庭將發生什麼？</w:t>
      </w:r>
    </w:p>
    <w:p w:rsidR="003E390D" w:rsidRDefault="003E390D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3E390D" w:rsidRDefault="003E390D">
      <w:pPr>
        <w:kinsoku w:val="0"/>
        <w:overflowPunct w:val="0"/>
        <w:spacing w:line="176" w:lineRule="auto"/>
        <w:ind w:left="110" w:right="111"/>
        <w:jc w:val="both"/>
        <w:rPr>
          <w:rFonts w:ascii="Arial Unicode MS" w:eastAsia="Arial Unicode MS" w:cs="Arial Unicode MS"/>
          <w:sz w:val="20"/>
          <w:szCs w:val="20"/>
        </w:rPr>
      </w:pPr>
      <w:r>
        <w:rPr>
          <w:rFonts w:ascii="Meiryo" w:eastAsia="Meiryo" w:cs="Meiryo" w:hint="eastAsia"/>
          <w:b/>
          <w:bCs/>
          <w:sz w:val="20"/>
          <w:szCs w:val="20"/>
        </w:rPr>
        <w:t>一個由三至四個居民組成的小組，將和參與者開會討論事件</w:t>
      </w:r>
      <w:r>
        <w:rPr>
          <w:rFonts w:ascii="Arial Unicode MS" w:eastAsia="Arial Unicode MS" w:cs="Arial Unicode MS" w:hint="eastAsia"/>
          <w:sz w:val="20"/>
          <w:szCs w:val="20"/>
        </w:rPr>
        <w:t>。小組在審議之後，可發出一或多</w:t>
      </w:r>
      <w:r>
        <w:rPr>
          <w:rFonts w:ascii="Arial Unicode MS" w:eastAsia="Arial Unicode MS" w:cs="Arial Unicode MS"/>
          <w:spacing w:val="37"/>
          <w:w w:val="102"/>
          <w:sz w:val="20"/>
          <w:szCs w:val="20"/>
        </w:rPr>
        <w:t xml:space="preserve"> </w:t>
      </w:r>
      <w:r>
        <w:rPr>
          <w:rFonts w:ascii="Arial Unicode MS" w:eastAsia="Arial Unicode MS" w:cs="Arial Unicode MS" w:hint="eastAsia"/>
          <w:sz w:val="20"/>
          <w:szCs w:val="20"/>
        </w:rPr>
        <w:t>項改正事件導致損害之「指示」，或行動。指示可包括但不限於：社區服務、賠償、發出道歉</w:t>
      </w:r>
      <w:r>
        <w:rPr>
          <w:rFonts w:ascii="Arial Unicode MS" w:eastAsia="Arial Unicode MS" w:cs="Arial Unicode MS"/>
          <w:spacing w:val="39"/>
          <w:w w:val="102"/>
          <w:sz w:val="20"/>
          <w:szCs w:val="20"/>
        </w:rPr>
        <w:t xml:space="preserve"> </w:t>
      </w:r>
      <w:r>
        <w:rPr>
          <w:rFonts w:ascii="Arial Unicode MS" w:eastAsia="Arial Unicode MS" w:cs="Arial Unicode MS" w:hint="eastAsia"/>
          <w:spacing w:val="-1"/>
          <w:sz w:val="20"/>
          <w:szCs w:val="20"/>
        </w:rPr>
        <w:t>信、研究項目、或顧問。</w:t>
      </w:r>
    </w:p>
    <w:p w:rsidR="003E390D" w:rsidRDefault="003E390D">
      <w:pPr>
        <w:kinsoku w:val="0"/>
        <w:overflowPunct w:val="0"/>
        <w:spacing w:before="150"/>
        <w:ind w:left="110"/>
        <w:jc w:val="both"/>
        <w:rPr>
          <w:rFonts w:ascii="Meiryo" w:eastAsia="Meiryo" w:hAnsi="Calibri" w:cs="Meiry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w w:val="95"/>
          <w:sz w:val="22"/>
          <w:szCs w:val="22"/>
        </w:rPr>
        <w:t xml:space="preserve">4. </w:t>
      </w:r>
      <w:r>
        <w:rPr>
          <w:rFonts w:ascii="Calibri" w:hAnsi="Calibri" w:cs="Calibri"/>
          <w:b/>
          <w:bCs/>
          <w:i/>
          <w:iCs/>
          <w:spacing w:val="11"/>
          <w:w w:val="95"/>
          <w:sz w:val="22"/>
          <w:szCs w:val="22"/>
        </w:rPr>
        <w:t xml:space="preserve"> </w:t>
      </w:r>
      <w:r>
        <w:rPr>
          <w:rFonts w:ascii="Meiryo" w:eastAsia="Meiryo" w:hAnsi="Calibri" w:cs="Meiryo" w:hint="eastAsia"/>
          <w:b/>
          <w:bCs/>
          <w:i/>
          <w:iCs/>
          <w:spacing w:val="-1"/>
          <w:w w:val="95"/>
          <w:sz w:val="23"/>
          <w:szCs w:val="23"/>
        </w:rPr>
        <w:t>我是否可以參加聽證？</w:t>
      </w:r>
    </w:p>
    <w:p w:rsidR="003E390D" w:rsidRDefault="003E390D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3E390D" w:rsidRDefault="003E390D">
      <w:pPr>
        <w:kinsoku w:val="0"/>
        <w:overflowPunct w:val="0"/>
        <w:spacing w:line="176" w:lineRule="auto"/>
        <w:ind w:left="110" w:right="111"/>
        <w:jc w:val="both"/>
        <w:rPr>
          <w:rFonts w:ascii="Arial Unicode MS" w:eastAsia="Arial Unicode MS" w:cs="Arial Unicode MS"/>
          <w:sz w:val="20"/>
          <w:szCs w:val="20"/>
        </w:rPr>
      </w:pPr>
      <w:r>
        <w:rPr>
          <w:rFonts w:ascii="Meiryo" w:eastAsia="Meiryo" w:cs="Meiryo" w:hint="eastAsia"/>
          <w:b/>
          <w:bCs/>
          <w:sz w:val="20"/>
          <w:szCs w:val="20"/>
        </w:rPr>
        <w:t>你可以參加社鄰法庭的程序，在聽證中向小組發言。</w:t>
      </w:r>
      <w:r>
        <w:rPr>
          <w:rFonts w:ascii="Arial Unicode MS" w:eastAsia="Arial Unicode MS" w:cs="Arial Unicode MS" w:hint="eastAsia"/>
          <w:sz w:val="20"/>
          <w:szCs w:val="20"/>
        </w:rPr>
        <w:t>參與者在你向小組發言時不會在聽證的房</w:t>
      </w:r>
      <w:r>
        <w:rPr>
          <w:rFonts w:ascii="Arial Unicode MS" w:eastAsia="Arial Unicode MS" w:cs="Arial Unicode MS"/>
          <w:spacing w:val="37"/>
          <w:w w:val="102"/>
          <w:sz w:val="20"/>
          <w:szCs w:val="20"/>
        </w:rPr>
        <w:t xml:space="preserve"> </w:t>
      </w:r>
      <w:r>
        <w:rPr>
          <w:rFonts w:ascii="Arial Unicode MS" w:eastAsia="Arial Unicode MS" w:cs="Arial Unicode MS" w:hint="eastAsia"/>
          <w:sz w:val="20"/>
          <w:szCs w:val="20"/>
        </w:rPr>
        <w:t>間內。如你想參與但不想出席，你可以事前提交一封信，此信將讀給小組聽。如你尋求財務損</w:t>
      </w:r>
      <w:r>
        <w:rPr>
          <w:rFonts w:ascii="Arial Unicode MS" w:eastAsia="Arial Unicode MS" w:cs="Arial Unicode MS"/>
          <w:spacing w:val="39"/>
          <w:w w:val="102"/>
          <w:sz w:val="20"/>
          <w:szCs w:val="20"/>
        </w:rPr>
        <w:t xml:space="preserve"> </w:t>
      </w:r>
      <w:r>
        <w:rPr>
          <w:rFonts w:ascii="Arial Unicode MS" w:eastAsia="Arial Unicode MS" w:cs="Arial Unicode MS" w:hint="eastAsia"/>
          <w:spacing w:val="-1"/>
          <w:sz w:val="20"/>
          <w:szCs w:val="20"/>
        </w:rPr>
        <w:t>失之賠償，請提供證明你損失的文件。</w:t>
      </w:r>
      <w:r w:rsidR="00EA4CA6" w:rsidRPr="00EA4CA6">
        <w:rPr>
          <w:rFonts w:ascii="Arial Unicode MS" w:eastAsia="Arial Unicode MS" w:cs="Arial Unicode MS" w:hint="eastAsia"/>
          <w:spacing w:val="-1"/>
          <w:sz w:val="20"/>
          <w:szCs w:val="20"/>
        </w:rPr>
        <w:t>如果您正在尋求歸還財務損害，請驗證您的聽力損失帶來的文檔，或通過郵寄提交：審前導流，</w:t>
      </w:r>
      <w:r w:rsidR="005100E2">
        <w:rPr>
          <w:rFonts w:ascii="Arial Unicode MS" w:eastAsia="Arial Unicode MS" w:cs="Arial Unicode MS"/>
          <w:spacing w:val="-1"/>
          <w:sz w:val="20"/>
          <w:szCs w:val="20"/>
        </w:rPr>
        <w:t>115 10</w:t>
      </w:r>
      <w:r w:rsidR="005100E2" w:rsidRPr="005100E2">
        <w:rPr>
          <w:rFonts w:ascii="Arial Unicode MS" w:eastAsia="Arial Unicode MS" w:cs="Arial Unicode MS"/>
          <w:spacing w:val="-1"/>
          <w:sz w:val="20"/>
          <w:szCs w:val="20"/>
          <w:vertAlign w:val="superscript"/>
        </w:rPr>
        <w:t>th</w:t>
      </w:r>
      <w:r w:rsidR="005100E2">
        <w:rPr>
          <w:rFonts w:ascii="Arial Unicode MS" w:eastAsia="Arial Unicode MS" w:cs="Arial Unicode MS"/>
          <w:spacing w:val="-1"/>
          <w:sz w:val="20"/>
          <w:szCs w:val="20"/>
        </w:rPr>
        <w:t xml:space="preserve"> Street</w:t>
      </w:r>
      <w:r w:rsidR="00EA4CA6" w:rsidRPr="00EA4CA6">
        <w:rPr>
          <w:rFonts w:ascii="Arial Unicode MS" w:eastAsia="Arial Unicode MS" w:cs="Arial Unicode MS" w:hint="eastAsia"/>
          <w:spacing w:val="-1"/>
          <w:sz w:val="20"/>
          <w:szCs w:val="20"/>
        </w:rPr>
        <w:t>，</w:t>
      </w:r>
      <w:r w:rsidR="00EA4CA6" w:rsidRPr="00EA4CA6">
        <w:rPr>
          <w:rFonts w:ascii="Arial Unicode MS" w:eastAsia="Arial Unicode MS" w:cs="Arial Unicode MS"/>
          <w:spacing w:val="-1"/>
          <w:sz w:val="20"/>
          <w:szCs w:val="20"/>
        </w:rPr>
        <w:t>SF</w:t>
      </w:r>
      <w:r w:rsidR="00EA4CA6" w:rsidRPr="00EA4CA6">
        <w:rPr>
          <w:rFonts w:ascii="Arial Unicode MS" w:eastAsia="Arial Unicode MS" w:cs="Arial Unicode MS" w:hint="eastAsia"/>
          <w:spacing w:val="-1"/>
          <w:sz w:val="20"/>
          <w:szCs w:val="20"/>
        </w:rPr>
        <w:t>，</w:t>
      </w:r>
      <w:r w:rsidR="00EA4CA6" w:rsidRPr="00EA4CA6">
        <w:rPr>
          <w:rFonts w:ascii="Arial Unicode MS" w:eastAsia="Arial Unicode MS" w:cs="Arial Unicode MS"/>
          <w:spacing w:val="-1"/>
          <w:sz w:val="20"/>
          <w:szCs w:val="20"/>
        </w:rPr>
        <w:t>CA</w:t>
      </w:r>
      <w:r w:rsidR="00EA4CA6" w:rsidRPr="00EA4CA6">
        <w:rPr>
          <w:rFonts w:ascii="Arial Unicode MS" w:eastAsia="Arial Unicode MS" w:cs="Arial Unicode MS" w:hint="eastAsia"/>
          <w:spacing w:val="-1"/>
          <w:sz w:val="20"/>
          <w:szCs w:val="20"/>
        </w:rPr>
        <w:t>，</w:t>
      </w:r>
      <w:r w:rsidR="00EA4CA6" w:rsidRPr="00EA4CA6">
        <w:rPr>
          <w:rFonts w:ascii="Arial Unicode MS" w:eastAsia="Arial Unicode MS" w:cs="Arial Unicode MS"/>
          <w:spacing w:val="-1"/>
          <w:sz w:val="20"/>
          <w:szCs w:val="20"/>
        </w:rPr>
        <w:t>94103</w:t>
      </w:r>
      <w:r w:rsidR="00EA4CA6" w:rsidRPr="00EA4CA6">
        <w:rPr>
          <w:rFonts w:ascii="Arial Unicode MS" w:eastAsia="Arial Unicode MS" w:cs="Arial Unicode MS" w:hint="eastAsia"/>
          <w:spacing w:val="-1"/>
          <w:sz w:val="20"/>
          <w:szCs w:val="20"/>
        </w:rPr>
        <w:t>。</w:t>
      </w:r>
    </w:p>
    <w:p w:rsidR="003E390D" w:rsidRDefault="003E390D">
      <w:pPr>
        <w:pStyle w:val="Heading1"/>
        <w:kinsoku w:val="0"/>
        <w:overflowPunct w:val="0"/>
        <w:spacing w:before="150"/>
        <w:jc w:val="both"/>
        <w:rPr>
          <w:rFonts w:hAnsi="Calibri"/>
          <w:b w:val="0"/>
          <w:bCs w:val="0"/>
          <w:i w:val="0"/>
          <w:iCs w:val="0"/>
        </w:rPr>
      </w:pPr>
      <w:r>
        <w:rPr>
          <w:rFonts w:ascii="Calibri" w:hAnsi="Calibri" w:cs="Calibri"/>
          <w:spacing w:val="-1"/>
          <w:w w:val="95"/>
          <w:sz w:val="22"/>
          <w:szCs w:val="22"/>
        </w:rPr>
        <w:t>5.</w:t>
      </w:r>
      <w:r>
        <w:rPr>
          <w:rFonts w:hAnsi="Calibri" w:hint="eastAsia"/>
          <w:spacing w:val="-1"/>
          <w:w w:val="95"/>
        </w:rPr>
        <w:t>將如何賠償我的損失？</w:t>
      </w:r>
    </w:p>
    <w:p w:rsidR="003E390D" w:rsidRDefault="003E390D">
      <w:pPr>
        <w:kinsoku w:val="0"/>
        <w:overflowPunct w:val="0"/>
        <w:spacing w:before="8" w:line="210" w:lineRule="exact"/>
        <w:rPr>
          <w:sz w:val="21"/>
          <w:szCs w:val="21"/>
        </w:rPr>
      </w:pPr>
    </w:p>
    <w:p w:rsidR="003E390D" w:rsidRDefault="003E390D">
      <w:pPr>
        <w:pStyle w:val="BodyText"/>
        <w:kinsoku w:val="0"/>
        <w:overflowPunct w:val="0"/>
        <w:spacing w:line="180" w:lineRule="auto"/>
        <w:rPr>
          <w:rFonts w:hAnsi="Calibri"/>
          <w:color w:val="000000"/>
        </w:rPr>
      </w:pPr>
      <w:r>
        <w:rPr>
          <w:rFonts w:ascii="Meiryo" w:eastAsia="Meiryo" w:cs="Meiryo" w:hint="eastAsia"/>
          <w:b/>
          <w:bCs/>
        </w:rPr>
        <w:t>如果你因事件受損失，小組可向參與者發出一個指示，包括支付你損失的指示</w:t>
      </w:r>
      <w:r>
        <w:rPr>
          <w:rFonts w:hint="eastAsia"/>
        </w:rPr>
        <w:t>。參與者賠償你</w:t>
      </w:r>
      <w:r>
        <w:rPr>
          <w:spacing w:val="32"/>
          <w:w w:val="102"/>
        </w:rPr>
        <w:t xml:space="preserve"> </w:t>
      </w:r>
      <w:r>
        <w:rPr>
          <w:rFonts w:hint="eastAsia"/>
        </w:rPr>
        <w:t>的損失是最大優先；但是，指示並不保證部份或全部付款。請注意小組將制定一個他們決定是</w:t>
      </w:r>
      <w:r>
        <w:rPr>
          <w:spacing w:val="39"/>
          <w:w w:val="102"/>
        </w:rPr>
        <w:t xml:space="preserve"> </w:t>
      </w:r>
      <w:r>
        <w:rPr>
          <w:rFonts w:hint="eastAsia"/>
          <w:spacing w:val="-1"/>
        </w:rPr>
        <w:t>最能改正事件導致之損失的指示，可或不可包括受害人賠償。</w:t>
      </w:r>
      <w:r>
        <w:rPr>
          <w:spacing w:val="23"/>
          <w:w w:val="102"/>
        </w:rPr>
        <w:t xml:space="preserve"> </w:t>
      </w:r>
      <w:r>
        <w:rPr>
          <w:rFonts w:hint="eastAsia"/>
          <w:spacing w:val="-1"/>
        </w:rPr>
        <w:t>你亦可以通過小額索賠法庭追回損失。詳情請聯絡：</w:t>
      </w:r>
      <w:r>
        <w:rPr>
          <w:spacing w:val="-1"/>
          <w:w w:val="102"/>
        </w:rPr>
        <w:t xml:space="preserve"> </w:t>
      </w:r>
      <w:r>
        <w:rPr>
          <w:rFonts w:ascii="Calibri" w:hAnsi="Calibri" w:cs="Calibri"/>
          <w:color w:val="0000FF"/>
          <w:spacing w:val="-1"/>
          <w:w w:val="102"/>
        </w:rPr>
        <w:t xml:space="preserve"> </w:t>
      </w:r>
      <w:hyperlink r:id="rId5" w:history="1">
        <w:r>
          <w:rPr>
            <w:rFonts w:ascii="Calibri" w:hAnsi="Calibri" w:cs="Calibri"/>
            <w:color w:val="0000FF"/>
            <w:spacing w:val="-1"/>
            <w:u w:val="single"/>
          </w:rPr>
          <w:t>http://www.sfsuperiorcourt.org/divisions/small</w:t>
        </w:r>
      </w:hyperlink>
      <w:r>
        <w:rPr>
          <w:rFonts w:ascii="Calibri" w:hAnsi="Calibri" w:cs="Calibri"/>
          <w:color w:val="0000FF"/>
          <w:spacing w:val="-1"/>
          <w:u w:val="single"/>
        </w:rPr>
        <w:t>‐claims</w:t>
      </w:r>
      <w:r>
        <w:rPr>
          <w:rFonts w:hAnsi="Calibri" w:hint="eastAsia"/>
          <w:color w:val="000000"/>
          <w:spacing w:val="-1"/>
        </w:rPr>
        <w:t>。</w:t>
      </w:r>
    </w:p>
    <w:p w:rsidR="003E390D" w:rsidRDefault="003E390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3E390D" w:rsidRDefault="003E390D">
      <w:pPr>
        <w:kinsoku w:val="0"/>
        <w:overflowPunct w:val="0"/>
        <w:spacing w:line="200" w:lineRule="exact"/>
        <w:rPr>
          <w:sz w:val="20"/>
          <w:szCs w:val="20"/>
        </w:rPr>
      </w:pPr>
    </w:p>
    <w:p w:rsidR="003E390D" w:rsidRDefault="003E390D">
      <w:pPr>
        <w:kinsoku w:val="0"/>
        <w:overflowPunct w:val="0"/>
        <w:spacing w:line="200" w:lineRule="exact"/>
        <w:rPr>
          <w:sz w:val="20"/>
          <w:szCs w:val="20"/>
        </w:rPr>
      </w:pPr>
    </w:p>
    <w:p w:rsidR="003E390D" w:rsidRDefault="006F5482" w:rsidP="007A5D79">
      <w:pPr>
        <w:kinsoku w:val="0"/>
        <w:overflowPunct w:val="0"/>
        <w:ind w:left="731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November</w:t>
      </w:r>
      <w:r w:rsidR="007A5D79">
        <w:rPr>
          <w:spacing w:val="-1"/>
          <w:sz w:val="18"/>
          <w:szCs w:val="18"/>
        </w:rPr>
        <w:t xml:space="preserve"> 2014</w:t>
      </w:r>
    </w:p>
    <w:sectPr w:rsidR="003E390D">
      <w:type w:val="continuous"/>
      <w:pgSz w:w="11910" w:h="16840"/>
      <w:pgMar w:top="1600" w:right="1640" w:bottom="280" w:left="1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23"/>
    <w:rsid w:val="000B2AD3"/>
    <w:rsid w:val="0013707A"/>
    <w:rsid w:val="00185C40"/>
    <w:rsid w:val="001955C7"/>
    <w:rsid w:val="00255E50"/>
    <w:rsid w:val="003E09F1"/>
    <w:rsid w:val="003E390D"/>
    <w:rsid w:val="00462FE0"/>
    <w:rsid w:val="005100E2"/>
    <w:rsid w:val="00522413"/>
    <w:rsid w:val="00547EA9"/>
    <w:rsid w:val="005A62A2"/>
    <w:rsid w:val="005C4648"/>
    <w:rsid w:val="00666D3A"/>
    <w:rsid w:val="00690960"/>
    <w:rsid w:val="006F5482"/>
    <w:rsid w:val="00773C47"/>
    <w:rsid w:val="007A5D79"/>
    <w:rsid w:val="007B0BCB"/>
    <w:rsid w:val="007C7123"/>
    <w:rsid w:val="00A27625"/>
    <w:rsid w:val="00A74C24"/>
    <w:rsid w:val="00AB20C3"/>
    <w:rsid w:val="00AB736F"/>
    <w:rsid w:val="00B47F09"/>
    <w:rsid w:val="00CF0356"/>
    <w:rsid w:val="00DB622F"/>
    <w:rsid w:val="00E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442213B3-0C89-4682-B189-FDE64A9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47"/>
      <w:ind w:left="110"/>
      <w:outlineLvl w:val="0"/>
    </w:pPr>
    <w:rPr>
      <w:rFonts w:ascii="Meiryo" w:eastAsia="Meiryo" w:cs="Meiryo"/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left="110"/>
    </w:pPr>
    <w:rPr>
      <w:rFonts w:ascii="Arial Unicode MS" w:eastAsia="Arial Unicode MS" w:cs="Arial Unicode MS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fsuperiorcourt.org/divisions/small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.Huang\Downloads\NCVictimFAQChineseNov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NCVictimFAQChineseNov2014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NCVictimFAQ_kwm.doc</vt:lpstr>
    </vt:vector>
  </TitlesOfParts>
  <Company>Microsoft</Company>
  <LinksUpToDate>false</LinksUpToDate>
  <CharactersWithSpaces>909</CharactersWithSpaces>
  <SharedDoc>false</SharedDoc>
  <HLinks>
    <vt:vector size="6" baseType="variant"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http://www.sfsuperiorcourt.org/divisions/small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NCVictimFAQ_kwm.doc</dc:title>
  <dc:subject/>
  <dc:creator>Huang, Ming (TIS)</dc:creator>
  <cp:keywords/>
  <cp:lastModifiedBy>Huang, Ming (TIS)</cp:lastModifiedBy>
  <cp:revision>1</cp:revision>
  <dcterms:created xsi:type="dcterms:W3CDTF">2016-01-26T17:46:00Z</dcterms:created>
  <dcterms:modified xsi:type="dcterms:W3CDTF">2016-01-26T17:47:00Z</dcterms:modified>
</cp:coreProperties>
</file>